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1276"/>
        <w:tblW w:w="10352" w:type="dxa"/>
        <w:tblBorders>
          <w:insideV w:val="single" w:sz="24" w:space="0" w:color="17365D"/>
        </w:tblBorders>
        <w:tblLook w:val="04A0"/>
      </w:tblPr>
      <w:tblGrid>
        <w:gridCol w:w="7905"/>
        <w:gridCol w:w="2447"/>
      </w:tblGrid>
      <w:tr w:rsidR="00644F0C" w:rsidRPr="009C014E" w:rsidTr="00B21A63">
        <w:trPr>
          <w:trHeight w:val="13897"/>
        </w:trPr>
        <w:tc>
          <w:tcPr>
            <w:tcW w:w="7905" w:type="dxa"/>
          </w:tcPr>
          <w:p w:rsidR="00644F0C" w:rsidRDefault="00644F0C" w:rsidP="008563A5">
            <w:pPr>
              <w:jc w:val="center"/>
              <w:rPr>
                <w:rFonts w:eastAsia="Times New Roman" w:cs="Verdana"/>
                <w:b/>
                <w:color w:val="357BCB"/>
                <w:sz w:val="40"/>
                <w:szCs w:val="40"/>
                <w:lang w:eastAsia="es-ES"/>
              </w:rPr>
            </w:pPr>
          </w:p>
          <w:p w:rsidR="00644F0C" w:rsidRDefault="00644F0C" w:rsidP="008563A5">
            <w:pPr>
              <w:jc w:val="center"/>
              <w:rPr>
                <w:rFonts w:eastAsia="Times New Roman" w:cs="Verdana"/>
                <w:b/>
                <w:color w:val="357BCB"/>
                <w:sz w:val="40"/>
                <w:szCs w:val="40"/>
                <w:lang w:eastAsia="es-ES"/>
              </w:rPr>
            </w:pPr>
          </w:p>
          <w:p w:rsidR="00644F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5988"/>
                <w:tab w:val="left" w:pos="6720"/>
              </w:tabs>
              <w:autoSpaceDE w:val="0"/>
              <w:autoSpaceDN w:val="0"/>
              <w:adjustRightInd w:val="0"/>
              <w:spacing w:after="0" w:line="240" w:lineRule="auto"/>
              <w:ind w:right="318"/>
              <w:jc w:val="center"/>
              <w:rPr>
                <w:rFonts w:cs="Arial"/>
                <w:b/>
                <w:bCs/>
                <w:sz w:val="40"/>
                <w:szCs w:val="40"/>
              </w:rPr>
            </w:pPr>
            <w:r w:rsidRPr="00481059">
              <w:rPr>
                <w:rFonts w:cs="Arial"/>
                <w:b/>
                <w:sz w:val="40"/>
                <w:szCs w:val="40"/>
              </w:rPr>
              <w:t>JORNADA</w:t>
            </w:r>
            <w:r w:rsidRPr="00900016">
              <w:rPr>
                <w:rFonts w:cs="Arial"/>
                <w:sz w:val="40"/>
                <w:szCs w:val="40"/>
              </w:rPr>
              <w:t xml:space="preserve"> </w:t>
            </w:r>
            <w:r w:rsidRPr="00900016">
              <w:rPr>
                <w:rFonts w:cs="Arial"/>
                <w:b/>
                <w:bCs/>
                <w:sz w:val="40"/>
                <w:szCs w:val="40"/>
              </w:rPr>
              <w:t xml:space="preserve">AEDAF </w:t>
            </w:r>
            <w:r w:rsidRPr="00A10E2F">
              <w:rPr>
                <w:rFonts w:cs="Arial"/>
                <w:b/>
                <w:bCs/>
                <w:sz w:val="40"/>
                <w:szCs w:val="40"/>
              </w:rPr>
              <w:t>MADRID</w:t>
            </w:r>
            <w:r>
              <w:rPr>
                <w:rFonts w:cs="Arial"/>
                <w:b/>
                <w:bCs/>
                <w:sz w:val="40"/>
                <w:szCs w:val="40"/>
              </w:rPr>
              <w:t>-ZONA CENTRO</w:t>
            </w:r>
            <w:r w:rsidRPr="00900016">
              <w:rPr>
                <w:rFonts w:cs="Arial"/>
                <w:b/>
                <w:bCs/>
                <w:sz w:val="40"/>
                <w:szCs w:val="40"/>
              </w:rPr>
              <w:t>.</w:t>
            </w:r>
          </w:p>
          <w:p w:rsidR="00224D77" w:rsidRDefault="00224D77" w:rsidP="00224D77">
            <w:pPr>
              <w:rPr>
                <w:rFonts w:eastAsia="Times New Roman" w:cs="Verdana"/>
                <w:b/>
                <w:color w:val="357BCB"/>
                <w:sz w:val="40"/>
                <w:szCs w:val="40"/>
                <w:lang w:eastAsia="es-ES"/>
              </w:rPr>
            </w:pPr>
          </w:p>
          <w:p w:rsidR="00644F0C" w:rsidRPr="00B21A63" w:rsidRDefault="00644F0C" w:rsidP="00D445C4">
            <w:pPr>
              <w:jc w:val="center"/>
              <w:rPr>
                <w:rFonts w:eastAsia="Times New Roman" w:cs="Verdana"/>
                <w:b/>
                <w:color w:val="357BCB"/>
                <w:sz w:val="32"/>
                <w:szCs w:val="32"/>
                <w:lang w:eastAsia="es-ES"/>
              </w:rPr>
            </w:pPr>
            <w:r w:rsidRPr="00B21A63">
              <w:rPr>
                <w:rFonts w:eastAsia="Times New Roman" w:cs="Verdana"/>
                <w:b/>
                <w:color w:val="357BCB"/>
                <w:sz w:val="32"/>
                <w:szCs w:val="32"/>
                <w:lang w:eastAsia="es-ES"/>
              </w:rPr>
              <w:t xml:space="preserve">JORNADA SOBRE </w:t>
            </w:r>
            <w:r w:rsidRPr="00B21A63">
              <w:rPr>
                <w:rFonts w:eastAsia="Times New Roman" w:cs="Verdana"/>
                <w:b/>
                <w:bCs/>
                <w:color w:val="357BCB"/>
                <w:sz w:val="32"/>
                <w:szCs w:val="32"/>
                <w:lang w:eastAsia="es-ES"/>
              </w:rPr>
              <w:t>LA FISCALIDAD DE LOS RENDIMIENTOS PERCIBIDOS POR SOCIOS Y ADMINISTRADORES. ESPECIAL INCIDENCIA EN LAS SOCIEDADES DE PROFESIONALES.</w:t>
            </w:r>
          </w:p>
          <w:p w:rsidR="00D445C4" w:rsidRDefault="00D445C4" w:rsidP="00644F0C">
            <w:pPr>
              <w:spacing w:before="100" w:beforeAutospacing="1" w:after="100" w:afterAutospacing="1"/>
              <w:jc w:val="both"/>
              <w:rPr>
                <w:rFonts w:cs="Arial"/>
                <w:b/>
                <w:color w:val="0070C0"/>
              </w:rPr>
            </w:pPr>
          </w:p>
          <w:p w:rsidR="00D445C4" w:rsidRPr="00B21A63" w:rsidRDefault="00986ECE" w:rsidP="00B21A63">
            <w:pPr>
              <w:spacing w:before="100" w:beforeAutospacing="1" w:after="100" w:afterAutospacing="1"/>
              <w:jc w:val="both"/>
              <w:rPr>
                <w:rFonts w:cs="Arial"/>
                <w:b/>
                <w:color w:val="0070C0"/>
                <w:sz w:val="24"/>
                <w:szCs w:val="24"/>
              </w:rPr>
            </w:pPr>
            <w:r w:rsidRPr="00B21A63">
              <w:rPr>
                <w:rFonts w:cs="Arial"/>
                <w:b/>
                <w:color w:val="0070C0"/>
                <w:sz w:val="24"/>
                <w:szCs w:val="24"/>
              </w:rPr>
              <w:t>P</w:t>
            </w:r>
            <w:r w:rsidR="00D445C4" w:rsidRPr="00B21A63">
              <w:rPr>
                <w:rFonts w:cs="Arial"/>
                <w:b/>
                <w:color w:val="0070C0"/>
                <w:sz w:val="24"/>
                <w:szCs w:val="24"/>
              </w:rPr>
              <w:t>rincipales temas a tratar</w:t>
            </w:r>
            <w:r w:rsidRPr="00B21A63">
              <w:rPr>
                <w:rFonts w:cs="Arial"/>
                <w:b/>
                <w:color w:val="0070C0"/>
                <w:sz w:val="24"/>
                <w:szCs w:val="24"/>
              </w:rPr>
              <w:t>:</w:t>
            </w:r>
          </w:p>
          <w:p w:rsidR="00644F0C" w:rsidRPr="00B21A63" w:rsidRDefault="00644F0C" w:rsidP="00B21A63">
            <w:pPr>
              <w:pStyle w:val="Prrafodelista"/>
              <w:numPr>
                <w:ilvl w:val="0"/>
                <w:numId w:val="1"/>
              </w:numPr>
              <w:spacing w:before="100" w:beforeAutospacing="1" w:after="100" w:afterAutospacing="1"/>
              <w:jc w:val="both"/>
              <w:rPr>
                <w:sz w:val="24"/>
                <w:szCs w:val="24"/>
              </w:rPr>
            </w:pPr>
            <w:r w:rsidRPr="00B21A63">
              <w:rPr>
                <w:sz w:val="24"/>
                <w:szCs w:val="24"/>
              </w:rPr>
              <w:t>Efectos fiscales de la facturación de servicios a través de sociedades interpuestas.</w:t>
            </w:r>
          </w:p>
          <w:p w:rsidR="00644F0C" w:rsidRPr="00B21A63" w:rsidRDefault="00644F0C" w:rsidP="00B21A63">
            <w:pPr>
              <w:pStyle w:val="Prrafodelista"/>
              <w:numPr>
                <w:ilvl w:val="0"/>
                <w:numId w:val="1"/>
              </w:numPr>
              <w:spacing w:before="100" w:beforeAutospacing="1" w:after="100" w:afterAutospacing="1"/>
              <w:jc w:val="both"/>
              <w:rPr>
                <w:sz w:val="24"/>
                <w:szCs w:val="24"/>
              </w:rPr>
            </w:pPr>
            <w:r w:rsidRPr="00B21A63">
              <w:rPr>
                <w:sz w:val="24"/>
                <w:szCs w:val="24"/>
              </w:rPr>
              <w:t>Análisis de las notas 9 y 10 de 2009 emitidas por la AEAT: alcance de la regularización planteada por la administración.</w:t>
            </w:r>
          </w:p>
          <w:p w:rsidR="00644F0C" w:rsidRPr="00B21A63" w:rsidRDefault="00644F0C" w:rsidP="00B21A63">
            <w:pPr>
              <w:pStyle w:val="Prrafodelista"/>
              <w:numPr>
                <w:ilvl w:val="0"/>
                <w:numId w:val="1"/>
              </w:numPr>
              <w:spacing w:before="100" w:beforeAutospacing="1" w:after="100" w:afterAutospacing="1"/>
              <w:jc w:val="both"/>
              <w:rPr>
                <w:sz w:val="24"/>
                <w:szCs w:val="24"/>
              </w:rPr>
            </w:pPr>
            <w:r w:rsidRPr="00B21A63">
              <w:rPr>
                <w:sz w:val="24"/>
                <w:szCs w:val="24"/>
              </w:rPr>
              <w:t>Exigencia de responsabilidades penales como consecuencia de la interposición de sociedades por socios y administradores sociales</w:t>
            </w:r>
          </w:p>
          <w:p w:rsidR="00644F0C" w:rsidRPr="00B21A63" w:rsidRDefault="00644F0C" w:rsidP="00B21A63">
            <w:pPr>
              <w:pStyle w:val="Prrafodelista"/>
              <w:numPr>
                <w:ilvl w:val="0"/>
                <w:numId w:val="1"/>
              </w:numPr>
              <w:spacing w:before="100" w:beforeAutospacing="1" w:after="100" w:afterAutospacing="1"/>
              <w:jc w:val="both"/>
              <w:rPr>
                <w:sz w:val="24"/>
                <w:szCs w:val="24"/>
              </w:rPr>
            </w:pPr>
            <w:r w:rsidRPr="00B21A63">
              <w:rPr>
                <w:sz w:val="24"/>
                <w:szCs w:val="24"/>
              </w:rPr>
              <w:t>Criterios para determinar la naturaleza jurídica de los rendimientos percibidos por socios y administradores: la reciente nota 1/2012 de la AEAT.</w:t>
            </w:r>
          </w:p>
          <w:p w:rsidR="00644F0C" w:rsidRPr="00B21A63" w:rsidRDefault="00644F0C" w:rsidP="00B21A63">
            <w:pPr>
              <w:pStyle w:val="Prrafodelista"/>
              <w:numPr>
                <w:ilvl w:val="0"/>
                <w:numId w:val="1"/>
              </w:numPr>
              <w:spacing w:before="100" w:beforeAutospacing="1" w:after="100" w:afterAutospacing="1"/>
              <w:jc w:val="both"/>
              <w:rPr>
                <w:sz w:val="24"/>
                <w:szCs w:val="24"/>
              </w:rPr>
            </w:pPr>
            <w:r w:rsidRPr="00B21A63">
              <w:rPr>
                <w:sz w:val="24"/>
                <w:szCs w:val="24"/>
              </w:rPr>
              <w:t>Deducibilidad en el impuesto sobre sociedades de los rendimientos satisfechos a socios y administradores.</w:t>
            </w:r>
          </w:p>
          <w:p w:rsidR="00644F0C" w:rsidRPr="00B21A63" w:rsidRDefault="00644F0C" w:rsidP="008563A5">
            <w:pPr>
              <w:autoSpaceDE w:val="0"/>
              <w:autoSpaceDN w:val="0"/>
              <w:adjustRightInd w:val="0"/>
              <w:spacing w:after="0" w:line="240" w:lineRule="auto"/>
              <w:rPr>
                <w:rFonts w:eastAsia="Times New Roman" w:cs="Verdana"/>
                <w:sz w:val="24"/>
                <w:szCs w:val="24"/>
                <w:lang w:eastAsia="es-ES"/>
              </w:rPr>
            </w:pPr>
            <w:r w:rsidRPr="00B21A63">
              <w:rPr>
                <w:rFonts w:eastAsia="Times New Roman" w:cs="Verdana"/>
                <w:sz w:val="24"/>
                <w:szCs w:val="24"/>
                <w:lang w:eastAsia="es-ES"/>
              </w:rPr>
              <w:t>Intervenciones de:</w:t>
            </w:r>
          </w:p>
          <w:p w:rsidR="00644F0C" w:rsidRPr="00B21A63" w:rsidRDefault="00644F0C" w:rsidP="008563A5">
            <w:pPr>
              <w:autoSpaceDE w:val="0"/>
              <w:autoSpaceDN w:val="0"/>
              <w:adjustRightInd w:val="0"/>
              <w:spacing w:after="0" w:line="240" w:lineRule="auto"/>
              <w:rPr>
                <w:rFonts w:eastAsia="Times New Roman" w:cs="Verdana"/>
                <w:b/>
                <w:sz w:val="24"/>
                <w:szCs w:val="24"/>
                <w:lang w:eastAsia="es-ES"/>
              </w:rPr>
            </w:pPr>
          </w:p>
          <w:p w:rsidR="00644F0C" w:rsidRPr="00B21A63" w:rsidRDefault="00644F0C" w:rsidP="00B21A63">
            <w:pPr>
              <w:autoSpaceDE w:val="0"/>
              <w:autoSpaceDN w:val="0"/>
              <w:adjustRightInd w:val="0"/>
              <w:spacing w:after="0" w:line="240" w:lineRule="auto"/>
              <w:jc w:val="both"/>
              <w:rPr>
                <w:rFonts w:eastAsia="Times New Roman" w:cs="Verdana"/>
                <w:sz w:val="24"/>
                <w:szCs w:val="24"/>
                <w:lang w:eastAsia="es-ES"/>
              </w:rPr>
            </w:pPr>
            <w:r w:rsidRPr="00B21A63">
              <w:rPr>
                <w:rFonts w:eastAsia="Times New Roman" w:cs="Verdana"/>
                <w:b/>
                <w:sz w:val="24"/>
                <w:szCs w:val="24"/>
                <w:lang w:eastAsia="es-ES"/>
              </w:rPr>
              <w:t xml:space="preserve">D. Ignacio </w:t>
            </w:r>
            <w:proofErr w:type="spellStart"/>
            <w:r w:rsidRPr="00B21A63">
              <w:rPr>
                <w:rFonts w:eastAsia="Times New Roman" w:cs="Verdana"/>
                <w:b/>
                <w:sz w:val="24"/>
                <w:szCs w:val="24"/>
                <w:lang w:eastAsia="es-ES"/>
              </w:rPr>
              <w:t>Arraez</w:t>
            </w:r>
            <w:proofErr w:type="spellEnd"/>
            <w:r w:rsidRPr="00B21A63">
              <w:rPr>
                <w:rFonts w:eastAsia="Times New Roman" w:cs="Verdana"/>
                <w:b/>
                <w:sz w:val="24"/>
                <w:szCs w:val="24"/>
                <w:lang w:eastAsia="es-ES"/>
              </w:rPr>
              <w:t xml:space="preserve"> </w:t>
            </w:r>
            <w:proofErr w:type="spellStart"/>
            <w:r w:rsidRPr="00B21A63">
              <w:rPr>
                <w:rFonts w:eastAsia="Times New Roman" w:cs="Verdana"/>
                <w:b/>
                <w:sz w:val="24"/>
                <w:szCs w:val="24"/>
                <w:lang w:eastAsia="es-ES"/>
              </w:rPr>
              <w:t>Bertolín</w:t>
            </w:r>
            <w:proofErr w:type="spellEnd"/>
            <w:r w:rsidRPr="00B21A63">
              <w:rPr>
                <w:rFonts w:eastAsia="Times New Roman" w:cs="Verdana"/>
                <w:b/>
                <w:sz w:val="24"/>
                <w:szCs w:val="24"/>
                <w:lang w:eastAsia="es-ES"/>
              </w:rPr>
              <w:t xml:space="preserve">, </w:t>
            </w:r>
            <w:r w:rsidR="00224D77" w:rsidRPr="00B21A63">
              <w:rPr>
                <w:rFonts w:eastAsia="Times New Roman" w:cs="Verdana"/>
                <w:sz w:val="24"/>
                <w:szCs w:val="24"/>
                <w:lang w:eastAsia="es-ES"/>
              </w:rPr>
              <w:t xml:space="preserve">abogado y socio fundador de MAIO, miembro de la </w:t>
            </w:r>
            <w:r w:rsidR="00224D77" w:rsidRPr="00B21A63">
              <w:rPr>
                <w:rFonts w:eastAsia="Times New Roman" w:cs="Verdana"/>
                <w:i/>
                <w:iCs/>
                <w:sz w:val="24"/>
                <w:szCs w:val="24"/>
                <w:lang w:eastAsia="es-ES"/>
              </w:rPr>
              <w:t>Asociación Española de Asesores Fiscales</w:t>
            </w:r>
            <w:r w:rsidR="00224D77" w:rsidRPr="00B21A63">
              <w:rPr>
                <w:rFonts w:eastAsia="Times New Roman" w:cs="Verdana"/>
                <w:sz w:val="24"/>
                <w:szCs w:val="24"/>
                <w:lang w:eastAsia="es-ES"/>
              </w:rPr>
              <w:t xml:space="preserve"> (AEDAF) y dirige el Gabinete de Estudios de la Delegación de Madrid de la citada asociación. Asimismo, es profesor de Derecho Tributario en la Escuela de Negocios de la Universidad San Pablo CEU.</w:t>
            </w:r>
          </w:p>
          <w:p w:rsidR="00644F0C" w:rsidRPr="00B21A63" w:rsidRDefault="00644F0C" w:rsidP="00B21A63">
            <w:pPr>
              <w:autoSpaceDE w:val="0"/>
              <w:autoSpaceDN w:val="0"/>
              <w:adjustRightInd w:val="0"/>
              <w:spacing w:after="0" w:line="240" w:lineRule="auto"/>
              <w:jc w:val="both"/>
              <w:rPr>
                <w:rFonts w:eastAsia="Times New Roman" w:cs="Verdana"/>
                <w:sz w:val="24"/>
                <w:szCs w:val="24"/>
                <w:lang w:eastAsia="es-ES"/>
              </w:rPr>
            </w:pPr>
          </w:p>
          <w:p w:rsidR="00644F0C" w:rsidRDefault="00644F0C" w:rsidP="00B21A63">
            <w:pPr>
              <w:autoSpaceDE w:val="0"/>
              <w:autoSpaceDN w:val="0"/>
              <w:adjustRightInd w:val="0"/>
              <w:spacing w:after="0" w:line="240" w:lineRule="auto"/>
              <w:jc w:val="both"/>
              <w:rPr>
                <w:rFonts w:eastAsia="Times New Roman" w:cs="Verdana"/>
                <w:sz w:val="24"/>
                <w:szCs w:val="24"/>
                <w:lang w:eastAsia="es-ES"/>
              </w:rPr>
            </w:pPr>
            <w:r w:rsidRPr="00B21A63">
              <w:rPr>
                <w:rFonts w:eastAsia="Times New Roman" w:cs="Verdana"/>
                <w:b/>
                <w:sz w:val="24"/>
                <w:szCs w:val="24"/>
                <w:lang w:eastAsia="es-ES"/>
              </w:rPr>
              <w:t xml:space="preserve">D. José Manuel Almudí Cid, </w:t>
            </w:r>
            <w:r w:rsidR="00224D77" w:rsidRPr="00B21A63">
              <w:rPr>
                <w:rFonts w:asciiTheme="minorHAnsi" w:eastAsiaTheme="minorEastAsia" w:hAnsiTheme="minorHAnsi" w:cstheme="minorBidi"/>
                <w:sz w:val="24"/>
                <w:szCs w:val="24"/>
                <w:lang w:val="es-ES_tradnl" w:eastAsia="es-ES"/>
              </w:rPr>
              <w:t xml:space="preserve"> </w:t>
            </w:r>
            <w:r w:rsidR="008A74F9">
              <w:t>Profesor Titular de Derecho Financiero y Tributario UCM.</w:t>
            </w:r>
          </w:p>
          <w:p w:rsidR="00CB013E" w:rsidRDefault="00CB013E" w:rsidP="00B21A63">
            <w:pPr>
              <w:autoSpaceDE w:val="0"/>
              <w:autoSpaceDN w:val="0"/>
              <w:adjustRightInd w:val="0"/>
              <w:spacing w:after="0" w:line="240" w:lineRule="auto"/>
              <w:jc w:val="both"/>
              <w:rPr>
                <w:rFonts w:eastAsia="Times New Roman" w:cs="Verdana"/>
                <w:sz w:val="24"/>
                <w:szCs w:val="24"/>
                <w:lang w:eastAsia="es-ES"/>
              </w:rPr>
            </w:pPr>
          </w:p>
          <w:p w:rsidR="00CB013E" w:rsidRPr="00B21A63" w:rsidRDefault="00CB013E" w:rsidP="00B21A63">
            <w:pPr>
              <w:autoSpaceDE w:val="0"/>
              <w:autoSpaceDN w:val="0"/>
              <w:adjustRightInd w:val="0"/>
              <w:spacing w:after="0" w:line="240" w:lineRule="auto"/>
              <w:jc w:val="both"/>
              <w:rPr>
                <w:rFonts w:eastAsia="Times New Roman" w:cs="Verdana"/>
                <w:b/>
                <w:sz w:val="24"/>
                <w:szCs w:val="24"/>
                <w:lang w:eastAsia="es-ES"/>
              </w:rPr>
            </w:pPr>
          </w:p>
          <w:p w:rsidR="00644F0C" w:rsidRPr="00CB013E" w:rsidRDefault="00CB013E" w:rsidP="008563A5">
            <w:pPr>
              <w:autoSpaceDE w:val="0"/>
              <w:autoSpaceDN w:val="0"/>
              <w:adjustRightInd w:val="0"/>
              <w:jc w:val="both"/>
              <w:rPr>
                <w:b/>
                <w:color w:val="1F497D" w:themeColor="text2"/>
                <w:sz w:val="24"/>
                <w:szCs w:val="24"/>
              </w:rPr>
            </w:pPr>
            <w:r w:rsidRPr="00CB013E">
              <w:rPr>
                <w:b/>
                <w:color w:val="1F497D" w:themeColor="text2"/>
                <w:sz w:val="24"/>
                <w:szCs w:val="24"/>
              </w:rPr>
              <w:t>Ágape clausura.</w:t>
            </w:r>
          </w:p>
        </w:tc>
        <w:tc>
          <w:tcPr>
            <w:tcW w:w="2447" w:type="dxa"/>
          </w:tcPr>
          <w:p w:rsidR="00644F0C" w:rsidRDefault="00644F0C" w:rsidP="008563A5">
            <w:pPr>
              <w:spacing w:after="0" w:line="240" w:lineRule="auto"/>
              <w:jc w:val="center"/>
            </w:pPr>
          </w:p>
          <w:p w:rsidR="00644F0C" w:rsidRDefault="00644F0C" w:rsidP="008563A5">
            <w:pPr>
              <w:spacing w:after="0" w:line="240" w:lineRule="auto"/>
              <w:jc w:val="center"/>
            </w:pPr>
          </w:p>
          <w:p w:rsidR="00644F0C" w:rsidRPr="000A17CD" w:rsidRDefault="00644F0C" w:rsidP="008563A5">
            <w:pPr>
              <w:spacing w:after="0" w:line="240" w:lineRule="auto"/>
              <w:jc w:val="center"/>
            </w:pPr>
          </w:p>
          <w:p w:rsidR="00644F0C" w:rsidRPr="000A17CD" w:rsidRDefault="00644F0C" w:rsidP="008563A5">
            <w:pPr>
              <w:spacing w:after="0" w:line="240" w:lineRule="auto"/>
            </w:pPr>
            <w:r>
              <w:t xml:space="preserve">                  </w:t>
            </w:r>
          </w:p>
          <w:p w:rsidR="00644F0C" w:rsidRPr="000A17CD" w:rsidRDefault="00644F0C" w:rsidP="008563A5">
            <w:pPr>
              <w:spacing w:after="0" w:line="240" w:lineRule="auto"/>
            </w:pPr>
            <w:r>
              <w:rPr>
                <w:noProof/>
                <w:lang w:eastAsia="es-ES"/>
              </w:rPr>
              <w:drawing>
                <wp:inline distT="0" distB="0" distL="0" distR="0">
                  <wp:extent cx="1320800" cy="1894205"/>
                  <wp:effectExtent l="19050" t="0" r="0" b="0"/>
                  <wp:docPr id="1" name="0 Imagen" descr="LOGOAEDAFVERTIC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AEDAFVERTICAL.bmp"/>
                          <pic:cNvPicPr>
                            <a:picLocks noChangeAspect="1" noChangeArrowheads="1"/>
                          </pic:cNvPicPr>
                        </pic:nvPicPr>
                        <pic:blipFill>
                          <a:blip r:embed="rId6" cstate="print"/>
                          <a:srcRect/>
                          <a:stretch>
                            <a:fillRect/>
                          </a:stretch>
                        </pic:blipFill>
                        <pic:spPr bwMode="auto">
                          <a:xfrm>
                            <a:off x="0" y="0"/>
                            <a:ext cx="1320800" cy="1894205"/>
                          </a:xfrm>
                          <a:prstGeom prst="rect">
                            <a:avLst/>
                          </a:prstGeom>
                          <a:noFill/>
                          <a:ln w="9525">
                            <a:noFill/>
                            <a:miter lim="800000"/>
                            <a:headEnd/>
                            <a:tailEnd/>
                          </a:ln>
                        </pic:spPr>
                      </pic:pic>
                    </a:graphicData>
                  </a:graphic>
                </wp:inline>
              </w:drawing>
            </w:r>
          </w:p>
          <w:p w:rsidR="00644F0C" w:rsidRDefault="00644F0C" w:rsidP="008563A5">
            <w:pPr>
              <w:spacing w:after="0" w:line="240" w:lineRule="auto"/>
              <w:rPr>
                <w:rFonts w:cs="Arial"/>
                <w:b/>
                <w:color w:val="0070C0"/>
              </w:rPr>
            </w:pPr>
          </w:p>
          <w:p w:rsidR="00644F0C" w:rsidRDefault="00644F0C" w:rsidP="008563A5">
            <w:pPr>
              <w:spacing w:after="0" w:line="240" w:lineRule="auto"/>
              <w:rPr>
                <w:rFonts w:cs="Arial"/>
                <w:b/>
                <w:color w:val="0070C0"/>
              </w:rPr>
            </w:pPr>
          </w:p>
          <w:p w:rsidR="00644F0C" w:rsidRDefault="00644F0C" w:rsidP="008563A5">
            <w:pPr>
              <w:spacing w:after="0" w:line="240" w:lineRule="auto"/>
              <w:rPr>
                <w:rFonts w:cs="Arial"/>
                <w:b/>
                <w:color w:val="0070C0"/>
              </w:rPr>
            </w:pPr>
          </w:p>
          <w:p w:rsidR="00644F0C" w:rsidRPr="00227FD7" w:rsidRDefault="00644F0C" w:rsidP="008563A5">
            <w:pPr>
              <w:spacing w:after="0" w:line="240" w:lineRule="auto"/>
              <w:rPr>
                <w:rFonts w:cs="Arial"/>
                <w:b/>
                <w:color w:val="0070C0"/>
              </w:rPr>
            </w:pPr>
            <w:r w:rsidRPr="00227FD7">
              <w:rPr>
                <w:rFonts w:cs="Arial"/>
                <w:b/>
                <w:color w:val="0070C0"/>
              </w:rPr>
              <w:t>Organiza:</w:t>
            </w:r>
          </w:p>
          <w:p w:rsidR="00644F0C" w:rsidRPr="00A4170C" w:rsidRDefault="00644F0C" w:rsidP="008563A5">
            <w:pPr>
              <w:spacing w:after="0" w:line="240" w:lineRule="auto"/>
            </w:pPr>
            <w:r w:rsidRPr="0074267E">
              <w:rPr>
                <w:rFonts w:cs="Arial"/>
                <w:b/>
              </w:rPr>
              <w:t xml:space="preserve">AEDAF </w:t>
            </w:r>
            <w:r>
              <w:rPr>
                <w:rFonts w:cs="Arial"/>
              </w:rPr>
              <w:t xml:space="preserve">Madrid-Zona Centro </w:t>
            </w:r>
          </w:p>
          <w:p w:rsidR="00644F0C" w:rsidRPr="00A4170C" w:rsidRDefault="00644F0C" w:rsidP="008563A5">
            <w:pPr>
              <w:spacing w:after="0" w:line="240" w:lineRule="auto"/>
            </w:pPr>
          </w:p>
          <w:p w:rsidR="00644F0C" w:rsidRPr="00227FD7"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color w:val="0070C0"/>
              </w:rPr>
            </w:pPr>
            <w:r w:rsidRPr="00227FD7">
              <w:rPr>
                <w:rFonts w:cs="LucidaGrande"/>
                <w:b/>
                <w:bCs/>
                <w:color w:val="0070C0"/>
              </w:rPr>
              <w:t>Fecha</w:t>
            </w:r>
          </w:p>
          <w:p w:rsidR="00644F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r>
              <w:rPr>
                <w:rFonts w:cs="LucidaGrande"/>
              </w:rPr>
              <w:t>9 de octubre</w:t>
            </w:r>
          </w:p>
          <w:p w:rsidR="00644F0C" w:rsidRPr="00A417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p>
          <w:p w:rsidR="00644F0C" w:rsidRPr="00227FD7"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b/>
                <w:bCs/>
                <w:color w:val="0070C0"/>
              </w:rPr>
            </w:pPr>
            <w:r w:rsidRPr="00227FD7">
              <w:rPr>
                <w:rFonts w:cs="LucidaGrande"/>
                <w:b/>
                <w:bCs/>
                <w:color w:val="0070C0"/>
              </w:rPr>
              <w:t>Lugar</w:t>
            </w:r>
          </w:p>
          <w:p w:rsidR="00644F0C" w:rsidRPr="0053156A"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r>
              <w:rPr>
                <w:rFonts w:cs="LucidaGrande"/>
              </w:rPr>
              <w:t>Sede Central, C/ Claudio Coello 106,6º dcha.</w:t>
            </w:r>
          </w:p>
          <w:p w:rsidR="00644F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b/>
                <w:bCs/>
                <w:color w:val="0070C0"/>
              </w:rPr>
            </w:pPr>
          </w:p>
          <w:p w:rsidR="00644F0C" w:rsidRPr="00227FD7"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b/>
                <w:bCs/>
                <w:color w:val="0070C0"/>
              </w:rPr>
            </w:pPr>
            <w:r w:rsidRPr="00227FD7">
              <w:rPr>
                <w:rFonts w:cs="LucidaGrande"/>
                <w:b/>
                <w:bCs/>
                <w:color w:val="0070C0"/>
              </w:rPr>
              <w:t>Horario</w:t>
            </w:r>
          </w:p>
          <w:p w:rsidR="00644F0C" w:rsidRPr="00A417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r w:rsidRPr="003F7E5A">
              <w:rPr>
                <w:rFonts w:cs="LucidaGrande"/>
              </w:rPr>
              <w:t>1</w:t>
            </w:r>
            <w:r>
              <w:rPr>
                <w:rFonts w:cs="LucidaGrande"/>
              </w:rPr>
              <w:t>6</w:t>
            </w:r>
            <w:r w:rsidRPr="003F7E5A">
              <w:rPr>
                <w:rFonts w:cs="LucidaGrande"/>
              </w:rPr>
              <w:t>:</w:t>
            </w:r>
            <w:r>
              <w:rPr>
                <w:rFonts w:cs="LucidaGrande"/>
              </w:rPr>
              <w:t>00 a 18</w:t>
            </w:r>
            <w:r w:rsidRPr="003F7E5A">
              <w:rPr>
                <w:rFonts w:cs="LucidaGrande"/>
              </w:rPr>
              <w:t>:</w:t>
            </w:r>
            <w:r w:rsidR="008563A5">
              <w:rPr>
                <w:rFonts w:cs="LucidaGrande"/>
              </w:rPr>
              <w:t>3</w:t>
            </w:r>
            <w:r w:rsidRPr="003F7E5A">
              <w:rPr>
                <w:rFonts w:cs="LucidaGrande"/>
              </w:rPr>
              <w:t>0</w:t>
            </w:r>
          </w:p>
          <w:p w:rsidR="00644F0C" w:rsidRPr="00A417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p>
          <w:p w:rsidR="00644F0C" w:rsidRPr="00227FD7"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b/>
                <w:bCs/>
                <w:color w:val="0070C0"/>
              </w:rPr>
            </w:pPr>
            <w:r w:rsidRPr="00227FD7">
              <w:rPr>
                <w:rFonts w:cs="LucidaGrande"/>
                <w:b/>
                <w:bCs/>
                <w:color w:val="0070C0"/>
              </w:rPr>
              <w:t>Inscripción</w:t>
            </w:r>
          </w:p>
          <w:p w:rsidR="00644F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r>
              <w:rPr>
                <w:rFonts w:cs="LucidaGrande"/>
              </w:rPr>
              <w:t>Asociados: 30 €</w:t>
            </w:r>
          </w:p>
          <w:p w:rsidR="00644F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r w:rsidRPr="00A4170C">
              <w:rPr>
                <w:rFonts w:cs="LucidaGrande"/>
              </w:rPr>
              <w:t>Col</w:t>
            </w:r>
            <w:r>
              <w:rPr>
                <w:rFonts w:cs="LucidaGrande"/>
              </w:rPr>
              <w:t>aboradores: 110 €</w:t>
            </w:r>
          </w:p>
          <w:p w:rsidR="00644F0C" w:rsidRPr="00A417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r>
              <w:rPr>
                <w:rFonts w:cs="LucidaGrande"/>
              </w:rPr>
              <w:t>Otros Colectivos: 180 €</w:t>
            </w:r>
          </w:p>
          <w:p w:rsidR="00644F0C"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p>
          <w:p w:rsidR="00644F0C" w:rsidRPr="00063437" w:rsidRDefault="00644F0C" w:rsidP="0085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LucidaGrande"/>
              </w:rPr>
            </w:pPr>
            <w:r w:rsidRPr="00A4170C">
              <w:rPr>
                <w:rFonts w:cs="LucidaGrande"/>
              </w:rPr>
              <w:t xml:space="preserve">Siendo necesaria la Inscripción previa. </w:t>
            </w:r>
            <w:r w:rsidRPr="00EB7A9A">
              <w:rPr>
                <w:rFonts w:cs="LucidaGrande"/>
                <w:b/>
              </w:rPr>
              <w:t>Plazas Limitadas</w:t>
            </w:r>
          </w:p>
          <w:p w:rsidR="00644F0C" w:rsidRDefault="00644F0C" w:rsidP="008563A5">
            <w:pPr>
              <w:spacing w:after="0" w:line="240" w:lineRule="auto"/>
            </w:pPr>
          </w:p>
          <w:p w:rsidR="00644F0C" w:rsidRPr="00897B29" w:rsidRDefault="00644F0C" w:rsidP="008563A5">
            <w:pPr>
              <w:spacing w:after="0" w:line="240" w:lineRule="auto"/>
              <w:jc w:val="both"/>
              <w:rPr>
                <w:rFonts w:cs="LucidaGrande"/>
                <w:b/>
              </w:rPr>
            </w:pPr>
            <w:r w:rsidRPr="00D11737">
              <w:rPr>
                <w:rFonts w:cs="LucidaGrande"/>
                <w:b/>
              </w:rPr>
              <w:t>La celebración del curso estará supeditada a un número mínimo de inscripciones</w:t>
            </w:r>
          </w:p>
        </w:tc>
      </w:tr>
    </w:tbl>
    <w:p w:rsidR="00644F0C" w:rsidRDefault="00644F0C" w:rsidP="00644F0C"/>
    <w:p w:rsidR="00374E22" w:rsidRDefault="00374E22"/>
    <w:sectPr w:rsidR="00374E22" w:rsidSect="00B21A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LucidaGran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804B8"/>
    <w:multiLevelType w:val="hybridMultilevel"/>
    <w:tmpl w:val="773C93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44F0C"/>
    <w:rsid w:val="00224D77"/>
    <w:rsid w:val="00374E22"/>
    <w:rsid w:val="00644F0C"/>
    <w:rsid w:val="00652284"/>
    <w:rsid w:val="00803028"/>
    <w:rsid w:val="0081778A"/>
    <w:rsid w:val="008563A5"/>
    <w:rsid w:val="008A74F9"/>
    <w:rsid w:val="00986ECE"/>
    <w:rsid w:val="00B21A63"/>
    <w:rsid w:val="00CB013E"/>
    <w:rsid w:val="00D445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4F0C"/>
    <w:rPr>
      <w:color w:val="0000FF"/>
      <w:u w:val="single"/>
    </w:rPr>
  </w:style>
  <w:style w:type="paragraph" w:styleId="Textodeglobo">
    <w:name w:val="Balloon Text"/>
    <w:basedOn w:val="Normal"/>
    <w:link w:val="TextodegloboCar"/>
    <w:uiPriority w:val="99"/>
    <w:semiHidden/>
    <w:unhideWhenUsed/>
    <w:rsid w:val="00644F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F0C"/>
    <w:rPr>
      <w:rFonts w:ascii="Tahoma" w:eastAsia="Calibri" w:hAnsi="Tahoma" w:cs="Tahoma"/>
      <w:sz w:val="16"/>
      <w:szCs w:val="16"/>
    </w:rPr>
  </w:style>
  <w:style w:type="paragraph" w:styleId="Prrafodelista">
    <w:name w:val="List Paragraph"/>
    <w:basedOn w:val="Normal"/>
    <w:uiPriority w:val="34"/>
    <w:qFormat/>
    <w:rsid w:val="00B21A63"/>
    <w:pPr>
      <w:ind w:left="720"/>
      <w:contextualSpacing/>
    </w:pPr>
  </w:style>
</w:styles>
</file>

<file path=word/webSettings.xml><?xml version="1.0" encoding="utf-8"?>
<w:webSettings xmlns:r="http://schemas.openxmlformats.org/officeDocument/2006/relationships" xmlns:w="http://schemas.openxmlformats.org/wordprocessingml/2006/main">
  <w:divs>
    <w:div w:id="15490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05C27-4168-4712-A81F-D76AFD7B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AEDAF</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AEDAF - Sede Madrid</dc:creator>
  <cp:keywords/>
  <dc:description/>
  <cp:lastModifiedBy>AEDAF - Sede Madrid</cp:lastModifiedBy>
  <cp:revision>5</cp:revision>
  <dcterms:created xsi:type="dcterms:W3CDTF">2012-09-27T07:24:00Z</dcterms:created>
  <dcterms:modified xsi:type="dcterms:W3CDTF">2012-09-28T12:51:00Z</dcterms:modified>
</cp:coreProperties>
</file>